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0036F">
              <w:t>DERECHO DE LA UNIÓN EUROPEA</w:t>
            </w:r>
          </w:p>
        </w:tc>
        <w:tc>
          <w:tcPr>
            <w:tcW w:w="1123" w:type="dxa"/>
          </w:tcPr>
          <w:p w:rsidR="003A369F" w:rsidRDefault="00E0036F" w:rsidP="00F17678">
            <w:pPr>
              <w:jc w:val="center"/>
            </w:pPr>
            <w:r>
              <w:t>9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F77EB7" w:rsidRPr="00F4065D" w:rsidRDefault="00F77EB7">
            <w:pPr>
              <w:rPr>
                <w:u w:val="single"/>
              </w:rPr>
            </w:pPr>
          </w:p>
          <w:p w:rsidR="00F77EB7" w:rsidRPr="00F4065D" w:rsidRDefault="00F77EB7">
            <w:pPr>
              <w:rPr>
                <w:u w:val="single"/>
              </w:rPr>
            </w:pPr>
          </w:p>
          <w:p w:rsidR="00F77EB7" w:rsidRPr="00F4065D" w:rsidRDefault="00F77EB7">
            <w:pPr>
              <w:rPr>
                <w:u w:val="single"/>
              </w:rPr>
            </w:pPr>
          </w:p>
          <w:p w:rsidR="00F77EB7" w:rsidRPr="00F4065D" w:rsidRDefault="00F77EB7">
            <w:pPr>
              <w:rPr>
                <w:u w:val="single"/>
              </w:rPr>
            </w:pPr>
          </w:p>
          <w:p w:rsidR="00F77EB7" w:rsidRPr="00F4065D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Default="00F4065D" w:rsidP="008F7C86">
            <w:r>
              <w:t>Doctor.</w:t>
            </w:r>
          </w:p>
          <w:p w:rsidR="00F4065D" w:rsidRDefault="00F4065D" w:rsidP="008F7C86">
            <w:r>
              <w:t>Catedrático de Universidad.</w:t>
            </w:r>
          </w:p>
          <w:p w:rsidR="00F4065D" w:rsidRPr="008F7C86" w:rsidRDefault="00F4065D" w:rsidP="008F7C86">
            <w:r>
              <w:t>Profesor a tiempo completo, y de manera ininterrumpida, desde 1987.</w:t>
            </w:r>
          </w:p>
          <w:p w:rsidR="001D7F79" w:rsidRDefault="00F02311" w:rsidP="001D7F79">
            <w:r>
              <w:t>Sexenios. 5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F4065D" w:rsidRDefault="00F4065D" w:rsidP="00F4065D">
            <w:r w:rsidRPr="0093727E">
              <w:rPr>
                <w:smallCaps/>
                <w:color w:val="323E4F" w:themeColor="text2" w:themeShade="BF"/>
              </w:rPr>
              <w:t>Derecho Constitucional de la Unión Europea</w:t>
            </w:r>
            <w:r w:rsidRPr="0093727E">
              <w:rPr>
                <w:color w:val="323E4F" w:themeColor="text2" w:themeShade="BF"/>
              </w:rPr>
              <w:t xml:space="preserve"> – fuentes del Derecho Comunitario, interacción del Derecho Comunitario con los Derechos Nacionales, protección de los derechos fundamentales en el espacio jurídico de la UE.  • </w:t>
            </w:r>
            <w:r w:rsidRPr="0093727E">
              <w:rPr>
                <w:smallCaps/>
                <w:color w:val="323E4F" w:themeColor="text2" w:themeShade="BF"/>
              </w:rPr>
              <w:t xml:space="preserve">Derecho Procesal de la Unión Europea. </w:t>
            </w:r>
            <w:r w:rsidRPr="0093727E">
              <w:rPr>
                <w:color w:val="323E4F" w:themeColor="text2" w:themeShade="BF"/>
              </w:rPr>
              <w:t xml:space="preserve">• </w:t>
            </w:r>
            <w:r w:rsidRPr="0093727E">
              <w:rPr>
                <w:smallCaps/>
                <w:color w:val="323E4F" w:themeColor="text2" w:themeShade="BF"/>
              </w:rPr>
              <w:t>Sistemas de integración regional en Iberoamérica</w:t>
            </w:r>
            <w:r w:rsidRPr="0093727E">
              <w:rPr>
                <w:color w:val="323E4F" w:themeColor="text2" w:themeShade="BF"/>
              </w:rPr>
              <w:t xml:space="preserve"> – Mercado Común del Sur (Mercosur), Comunidad Andina (CAN), Sistema de Integración Centroamericano (SICA).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F4065D" w:rsidP="00F4065D">
            <w:pPr>
              <w:jc w:val="both"/>
            </w:pPr>
            <w:r>
              <w:t xml:space="preserve">Titular de una Cátedra Jean </w:t>
            </w:r>
            <w:proofErr w:type="spellStart"/>
            <w:r>
              <w:t>Monnet</w:t>
            </w:r>
            <w:proofErr w:type="spellEnd"/>
            <w:r>
              <w:t xml:space="preserve"> </w:t>
            </w:r>
            <w:r w:rsidRPr="00F4065D">
              <w:t>en dos ocasiones consecutivas: 2011-2013 y 2014-2016.</w:t>
            </w:r>
          </w:p>
        </w:tc>
      </w:tr>
      <w:tr w:rsidR="006E5F82" w:rsidRPr="00FD1D54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  <w:bookmarkStart w:id="0" w:name="_GoBack"/>
            <w:bookmarkEnd w:id="0"/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F4065D" w:rsidRPr="00D93752" w:rsidRDefault="00F4065D" w:rsidP="00F4065D">
            <w:pPr>
              <w:pStyle w:val="Prrafodelista"/>
              <w:numPr>
                <w:ilvl w:val="0"/>
                <w:numId w:val="3"/>
              </w:numPr>
              <w:spacing w:after="120"/>
              <w:ind w:left="340" w:hanging="227"/>
              <w:contextualSpacing w:val="0"/>
              <w:jc w:val="both"/>
              <w:rPr>
                <w:rStyle w:val="Textoennegrita"/>
                <w:bCs w:val="0"/>
                <w:i/>
                <w:sz w:val="24"/>
                <w:szCs w:val="24"/>
              </w:rPr>
            </w:pPr>
            <w:r w:rsidRPr="00D93752">
              <w:rPr>
                <w:i/>
                <w:sz w:val="24"/>
                <w:szCs w:val="24"/>
              </w:rPr>
              <w:t xml:space="preserve">El juez nacional en la encrucijada europea de los derechos fundamentales, </w:t>
            </w:r>
            <w:r w:rsidRPr="00D93752">
              <w:rPr>
                <w:sz w:val="24"/>
                <w:szCs w:val="24"/>
              </w:rPr>
              <w:t>Ed. Thomson-</w:t>
            </w:r>
            <w:proofErr w:type="spellStart"/>
            <w:r w:rsidRPr="00D93752">
              <w:rPr>
                <w:sz w:val="24"/>
                <w:szCs w:val="24"/>
              </w:rPr>
              <w:t>Civitas</w:t>
            </w:r>
            <w:proofErr w:type="spellEnd"/>
            <w:r w:rsidRPr="00D93752">
              <w:rPr>
                <w:sz w:val="24"/>
                <w:szCs w:val="24"/>
              </w:rPr>
              <w:t xml:space="preserve">, Madrid, 2014. 193 pp. </w:t>
            </w:r>
            <w:r w:rsidRPr="00D93752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 xml:space="preserve">ISBN </w:t>
            </w:r>
            <w:r w:rsidRPr="00D93752">
              <w:rPr>
                <w:sz w:val="24"/>
                <w:szCs w:val="24"/>
              </w:rPr>
              <w:t>978-84-470-4835-9</w:t>
            </w:r>
            <w:r w:rsidRPr="00D93752">
              <w:rPr>
                <w:rStyle w:val="Textoennegrita"/>
                <w:rFonts w:cs="Arial"/>
                <w:bdr w:val="none" w:sz="0" w:space="0" w:color="auto" w:frame="1"/>
              </w:rPr>
              <w:t>.</w:t>
            </w:r>
          </w:p>
          <w:p w:rsidR="00F4065D" w:rsidRPr="00D93752" w:rsidRDefault="00F4065D" w:rsidP="00F4065D">
            <w:pPr>
              <w:pStyle w:val="Prrafodelista"/>
              <w:numPr>
                <w:ilvl w:val="0"/>
                <w:numId w:val="3"/>
              </w:numPr>
              <w:spacing w:after="120"/>
              <w:ind w:left="340" w:hanging="227"/>
              <w:contextualSpacing w:val="0"/>
              <w:jc w:val="both"/>
              <w:rPr>
                <w:rStyle w:val="Textoennegrita"/>
                <w:bCs w:val="0"/>
                <w:i/>
                <w:sz w:val="24"/>
                <w:szCs w:val="24"/>
              </w:rPr>
            </w:pPr>
            <w:r w:rsidRPr="00D93752">
              <w:rPr>
                <w:i/>
                <w:sz w:val="24"/>
                <w:szCs w:val="24"/>
              </w:rPr>
              <w:t>Justicia constitucional y Unión Europea</w:t>
            </w:r>
            <w:r w:rsidRPr="00D93752">
              <w:rPr>
                <w:sz w:val="24"/>
                <w:szCs w:val="24"/>
              </w:rPr>
              <w:t>, Ed. Thomson-</w:t>
            </w:r>
            <w:proofErr w:type="spellStart"/>
            <w:r w:rsidRPr="00D93752">
              <w:rPr>
                <w:sz w:val="24"/>
                <w:szCs w:val="24"/>
              </w:rPr>
              <w:t>Civitas</w:t>
            </w:r>
            <w:proofErr w:type="spellEnd"/>
            <w:r w:rsidRPr="00D93752">
              <w:rPr>
                <w:sz w:val="24"/>
                <w:szCs w:val="24"/>
              </w:rPr>
              <w:t xml:space="preserve">, Madrid, 2005; 106 pp. ISBN: </w:t>
            </w:r>
            <w:r w:rsidRPr="00D93752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978-84-470-2476-6.</w:t>
            </w:r>
          </w:p>
          <w:p w:rsidR="00F4065D" w:rsidRPr="00D93752" w:rsidRDefault="00F4065D" w:rsidP="00F4065D">
            <w:pPr>
              <w:pStyle w:val="Prrafodelista"/>
              <w:numPr>
                <w:ilvl w:val="0"/>
                <w:numId w:val="3"/>
              </w:numPr>
              <w:spacing w:after="120"/>
              <w:ind w:left="340" w:hanging="227"/>
              <w:contextualSpacing w:val="0"/>
              <w:jc w:val="both"/>
              <w:rPr>
                <w:i/>
                <w:sz w:val="24"/>
                <w:szCs w:val="24"/>
              </w:rPr>
            </w:pPr>
            <w:r w:rsidRPr="00D93752">
              <w:rPr>
                <w:i/>
                <w:iCs/>
                <w:sz w:val="24"/>
                <w:szCs w:val="24"/>
              </w:rPr>
              <w:t>El Juez español y el Derecho Comunitario. Jurisdicciones constitucional y ordinaria frente a su primacía y eficacia</w:t>
            </w:r>
            <w:r w:rsidRPr="00D93752">
              <w:rPr>
                <w:sz w:val="24"/>
                <w:szCs w:val="24"/>
              </w:rPr>
              <w:t xml:space="preserve">, Ed. Tirant lo Blanch, Valencia, 2003; 336 pp. ISBN: </w:t>
            </w:r>
            <w:hyperlink r:id="rId8" w:history="1">
              <w:r w:rsidRPr="00D93752">
                <w:rPr>
                  <w:rStyle w:val="Hipervnculo"/>
                  <w:rFonts w:cs="Arial"/>
                  <w:color w:val="auto"/>
                  <w:sz w:val="24"/>
                  <w:szCs w:val="24"/>
                  <w:u w:val="none"/>
                </w:rPr>
                <w:t>978-84-8442-871-8</w:t>
              </w:r>
            </w:hyperlink>
            <w:r w:rsidRPr="00D93752">
              <w:rPr>
                <w:rFonts w:cs="Arial"/>
                <w:sz w:val="24"/>
                <w:szCs w:val="24"/>
                <w:bdr w:val="none" w:sz="0" w:space="0" w:color="auto" w:frame="1"/>
              </w:rPr>
              <w:t>.</w:t>
            </w:r>
          </w:p>
          <w:p w:rsidR="00F4065D" w:rsidRPr="00D93752" w:rsidRDefault="00F4065D" w:rsidP="00F4065D">
            <w:pPr>
              <w:pStyle w:val="Prrafodelista"/>
              <w:numPr>
                <w:ilvl w:val="0"/>
                <w:numId w:val="3"/>
              </w:numPr>
              <w:spacing w:after="120"/>
              <w:ind w:left="340" w:hanging="227"/>
              <w:contextualSpacing w:val="0"/>
              <w:jc w:val="both"/>
              <w:rPr>
                <w:rStyle w:val="Textoennegrita"/>
                <w:bCs w:val="0"/>
                <w:i/>
                <w:sz w:val="24"/>
                <w:szCs w:val="24"/>
              </w:rPr>
            </w:pPr>
            <w:r w:rsidRPr="00D93752">
              <w:rPr>
                <w:i/>
                <w:sz w:val="24"/>
                <w:szCs w:val="24"/>
              </w:rPr>
              <w:t>Derecho Comunitario: Sistema Constitucional y Administrativo de la Comunidad Europea</w:t>
            </w:r>
            <w:r w:rsidRPr="00D93752">
              <w:rPr>
                <w:sz w:val="24"/>
                <w:szCs w:val="24"/>
              </w:rPr>
              <w:t xml:space="preserve">, Ed. Centro de Estudios Ramón Areces, Madrid, 1994; 704 pp. ISBN: </w:t>
            </w:r>
            <w:r w:rsidRPr="00D93752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978-84-8004-140-9.</w:t>
            </w:r>
          </w:p>
          <w:p w:rsidR="00F4065D" w:rsidRPr="00D93752" w:rsidRDefault="00F4065D" w:rsidP="00F4065D">
            <w:pPr>
              <w:pStyle w:val="Prrafodelista"/>
              <w:numPr>
                <w:ilvl w:val="0"/>
                <w:numId w:val="3"/>
              </w:numPr>
              <w:spacing w:after="120"/>
              <w:ind w:left="340" w:hanging="227"/>
              <w:contextualSpacing w:val="0"/>
              <w:jc w:val="both"/>
              <w:rPr>
                <w:rStyle w:val="Textoennegrita"/>
                <w:bCs w:val="0"/>
                <w:i/>
                <w:sz w:val="24"/>
                <w:szCs w:val="24"/>
              </w:rPr>
            </w:pPr>
            <w:r w:rsidRPr="00D93752">
              <w:rPr>
                <w:i/>
                <w:sz w:val="24"/>
                <w:szCs w:val="24"/>
              </w:rPr>
              <w:t>Derecho comunitario, Derechos nacionales y Derecho común europeo,</w:t>
            </w:r>
            <w:r w:rsidRPr="00D93752">
              <w:rPr>
                <w:sz w:val="24"/>
                <w:szCs w:val="24"/>
              </w:rPr>
              <w:t xml:space="preserve"> Ed. </w:t>
            </w:r>
            <w:proofErr w:type="spellStart"/>
            <w:r w:rsidRPr="00D93752">
              <w:rPr>
                <w:sz w:val="24"/>
                <w:szCs w:val="24"/>
              </w:rPr>
              <w:t>Civitas</w:t>
            </w:r>
            <w:proofErr w:type="spellEnd"/>
            <w:r w:rsidRPr="00D93752">
              <w:rPr>
                <w:sz w:val="24"/>
                <w:szCs w:val="24"/>
              </w:rPr>
              <w:t xml:space="preserve">, Madrid, 1989; 324 pp. ISBN: </w:t>
            </w:r>
            <w:r w:rsidRPr="00D93752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978-84-7398-651-9.</w:t>
            </w:r>
          </w:p>
          <w:p w:rsidR="00F4065D" w:rsidRPr="00D93752" w:rsidRDefault="00F4065D" w:rsidP="00F4065D">
            <w:pPr>
              <w:pStyle w:val="Prrafodelista"/>
              <w:numPr>
                <w:ilvl w:val="0"/>
                <w:numId w:val="3"/>
              </w:numPr>
              <w:spacing w:after="120"/>
              <w:ind w:left="340" w:hanging="227"/>
              <w:contextualSpacing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93752">
              <w:rPr>
                <w:iCs/>
                <w:sz w:val="24"/>
                <w:szCs w:val="24"/>
              </w:rPr>
              <w:t>“El ‘</w:t>
            </w:r>
            <w:proofErr w:type="spellStart"/>
            <w:r w:rsidRPr="00D93752">
              <w:rPr>
                <w:iCs/>
                <w:sz w:val="24"/>
                <w:szCs w:val="24"/>
              </w:rPr>
              <w:t>soft</w:t>
            </w:r>
            <w:proofErr w:type="spellEnd"/>
            <w:r w:rsidRPr="00D9375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93752">
              <w:rPr>
                <w:iCs/>
                <w:sz w:val="24"/>
                <w:szCs w:val="24"/>
              </w:rPr>
              <w:t>law</w:t>
            </w:r>
            <w:proofErr w:type="spellEnd"/>
            <w:r w:rsidRPr="00D93752">
              <w:rPr>
                <w:iCs/>
                <w:sz w:val="24"/>
                <w:szCs w:val="24"/>
              </w:rPr>
              <w:t>’ comunitario”</w:t>
            </w:r>
            <w:r w:rsidRPr="00D93752">
              <w:rPr>
                <w:sz w:val="24"/>
                <w:szCs w:val="24"/>
              </w:rPr>
              <w:t xml:space="preserve">, </w:t>
            </w:r>
            <w:r w:rsidRPr="00D93752">
              <w:rPr>
                <w:i/>
                <w:sz w:val="24"/>
                <w:szCs w:val="24"/>
              </w:rPr>
              <w:t>Revista de Administración Pública</w:t>
            </w:r>
            <w:r w:rsidRPr="00D93752">
              <w:rPr>
                <w:sz w:val="24"/>
                <w:szCs w:val="24"/>
              </w:rPr>
              <w:t>, 154 (2001).</w:t>
            </w:r>
          </w:p>
          <w:p w:rsidR="00F4065D" w:rsidRPr="00D93752" w:rsidRDefault="00F4065D" w:rsidP="00F4065D">
            <w:pPr>
              <w:pStyle w:val="Prrafodelista"/>
              <w:numPr>
                <w:ilvl w:val="0"/>
                <w:numId w:val="3"/>
              </w:numPr>
              <w:spacing w:after="120"/>
              <w:ind w:left="340" w:hanging="227"/>
              <w:contextualSpacing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93752">
              <w:rPr>
                <w:iCs/>
                <w:sz w:val="24"/>
                <w:szCs w:val="24"/>
              </w:rPr>
              <w:t>“Las cláusulas horizontales de la Carta de los Derechos Fundamentales de la Unión Europea”</w:t>
            </w:r>
            <w:r w:rsidRPr="00D93752">
              <w:rPr>
                <w:sz w:val="24"/>
                <w:szCs w:val="24"/>
              </w:rPr>
              <w:t xml:space="preserve">, en </w:t>
            </w:r>
            <w:r w:rsidRPr="00D93752">
              <w:rPr>
                <w:i/>
                <w:iCs/>
                <w:sz w:val="24"/>
                <w:szCs w:val="24"/>
              </w:rPr>
              <w:t>La encrucijada constitucional de la Unión Europea</w:t>
            </w:r>
            <w:r w:rsidRPr="00D93752">
              <w:rPr>
                <w:sz w:val="24"/>
                <w:szCs w:val="24"/>
              </w:rPr>
              <w:t xml:space="preserve">, </w:t>
            </w:r>
            <w:r w:rsidRPr="00D93752">
              <w:rPr>
                <w:iCs/>
                <w:sz w:val="24"/>
                <w:szCs w:val="24"/>
              </w:rPr>
              <w:t xml:space="preserve">en </w:t>
            </w:r>
            <w:r w:rsidRPr="00D93752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La encrucijada </w:t>
            </w:r>
            <w:r w:rsidRPr="00D93752">
              <w:rPr>
                <w:rFonts w:eastAsia="Calibri" w:cs="Times New Roman"/>
                <w:i/>
                <w:iCs/>
                <w:sz w:val="24"/>
                <w:szCs w:val="24"/>
              </w:rPr>
              <w:lastRenderedPageBreak/>
              <w:t>constitucional de la Unión Europea</w:t>
            </w:r>
            <w:r w:rsidRPr="00D93752">
              <w:rPr>
                <w:rFonts w:eastAsia="Calibri" w:cs="Times New Roman"/>
                <w:sz w:val="24"/>
                <w:szCs w:val="24"/>
              </w:rPr>
              <w:t xml:space="preserve"> (Dir. </w:t>
            </w:r>
            <w:r w:rsidRPr="00D93752">
              <w:rPr>
                <w:rFonts w:eastAsia="Calibri" w:cs="Times New Roman"/>
                <w:smallCaps/>
                <w:sz w:val="24"/>
                <w:szCs w:val="24"/>
              </w:rPr>
              <w:t>García de Enterría, E.</w:t>
            </w:r>
            <w:r w:rsidRPr="00D93752">
              <w:rPr>
                <w:rFonts w:eastAsia="Calibri" w:cs="Times New Roman"/>
                <w:sz w:val="24"/>
                <w:szCs w:val="24"/>
              </w:rPr>
              <w:t xml:space="preserve"> y </w:t>
            </w:r>
            <w:r w:rsidRPr="00D93752">
              <w:rPr>
                <w:rFonts w:eastAsia="Calibri" w:cs="Times New Roman"/>
                <w:smallCaps/>
                <w:sz w:val="24"/>
                <w:szCs w:val="24"/>
              </w:rPr>
              <w:t>Alonso García, R</w:t>
            </w:r>
            <w:r w:rsidRPr="00D93752">
              <w:rPr>
                <w:rFonts w:eastAsia="Calibri" w:cs="Times New Roman"/>
                <w:sz w:val="24"/>
                <w:szCs w:val="24"/>
              </w:rPr>
              <w:t xml:space="preserve">.), </w:t>
            </w:r>
            <w:r w:rsidRPr="00D93752">
              <w:rPr>
                <w:sz w:val="24"/>
                <w:szCs w:val="24"/>
              </w:rPr>
              <w:t xml:space="preserve">Ed. </w:t>
            </w:r>
            <w:proofErr w:type="spellStart"/>
            <w:r w:rsidRPr="00D93752">
              <w:rPr>
                <w:rFonts w:eastAsia="Calibri" w:cs="Times New Roman"/>
                <w:sz w:val="24"/>
                <w:szCs w:val="24"/>
              </w:rPr>
              <w:t>Civitas</w:t>
            </w:r>
            <w:proofErr w:type="spellEnd"/>
            <w:r w:rsidRPr="00D93752">
              <w:rPr>
                <w:rFonts w:eastAsia="Calibri" w:cs="Times New Roman"/>
                <w:sz w:val="24"/>
                <w:szCs w:val="24"/>
              </w:rPr>
              <w:t>, Madrid, 2002.</w:t>
            </w:r>
          </w:p>
          <w:p w:rsidR="00D93752" w:rsidRPr="00FD1D54" w:rsidRDefault="00D93752" w:rsidP="00D93752">
            <w:pPr>
              <w:pStyle w:val="Prrafodelista"/>
              <w:numPr>
                <w:ilvl w:val="0"/>
                <w:numId w:val="3"/>
              </w:numPr>
              <w:spacing w:after="120"/>
              <w:ind w:left="340" w:hanging="227"/>
              <w:contextualSpacing w:val="0"/>
              <w:jc w:val="both"/>
              <w:rPr>
                <w:rFonts w:eastAsia="Calibri" w:cs="Times New Roman"/>
                <w:sz w:val="24"/>
                <w:szCs w:val="24"/>
                <w:lang w:val="fr-FR"/>
              </w:rPr>
            </w:pPr>
            <w:r w:rsidRPr="00FD1D54">
              <w:rPr>
                <w:rFonts w:eastAsia="Calibri" w:cs="Times New Roman"/>
                <w:sz w:val="24"/>
                <w:szCs w:val="24"/>
                <w:lang w:val="fr-FR"/>
              </w:rPr>
              <w:t xml:space="preserve">“L’interprétation du droit national en function de l’entrée en vigueur des directives et de leur date limite de transposition (ou leur transposition anticipée)”, en </w:t>
            </w:r>
            <w:r w:rsidRPr="00FD1D54">
              <w:rPr>
                <w:rFonts w:eastAsia="Calibri" w:cs="Times New Roman"/>
                <w:i/>
                <w:sz w:val="24"/>
                <w:szCs w:val="24"/>
                <w:lang w:val="fr-FR"/>
              </w:rPr>
              <w:t>Liber amicorum Antonio Tizzano. De la Cour CECA à la Cour de l'Union: le long parcours de la justice européenne</w:t>
            </w:r>
            <w:r w:rsidRPr="00FD1D54">
              <w:rPr>
                <w:rFonts w:eastAsia="Calibri" w:cs="Times New Roman"/>
                <w:sz w:val="24"/>
                <w:szCs w:val="24"/>
                <w:lang w:val="fr-FR"/>
              </w:rPr>
              <w:t>, Giappichelli Editore, 2018.</w:t>
            </w:r>
          </w:p>
          <w:p w:rsidR="00D93752" w:rsidRPr="00D93752" w:rsidRDefault="00D93752" w:rsidP="00D93752">
            <w:pPr>
              <w:pStyle w:val="Prrafodelista"/>
              <w:numPr>
                <w:ilvl w:val="0"/>
                <w:numId w:val="3"/>
              </w:numPr>
              <w:spacing w:after="120"/>
              <w:ind w:left="340" w:hanging="227"/>
              <w:contextualSpacing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93752">
              <w:rPr>
                <w:iCs/>
                <w:sz w:val="24"/>
                <w:szCs w:val="24"/>
              </w:rPr>
              <w:t>“</w:t>
            </w:r>
            <w:proofErr w:type="spellStart"/>
            <w:r w:rsidRPr="00D93752">
              <w:rPr>
                <w:iCs/>
                <w:sz w:val="24"/>
                <w:szCs w:val="24"/>
              </w:rPr>
              <w:t>Costituzione</w:t>
            </w:r>
            <w:proofErr w:type="spellEnd"/>
            <w:r w:rsidRPr="00D93752">
              <w:rPr>
                <w:iCs/>
                <w:sz w:val="24"/>
                <w:szCs w:val="24"/>
              </w:rPr>
              <w:t xml:space="preserve"> europea: un </w:t>
            </w:r>
            <w:proofErr w:type="spellStart"/>
            <w:r w:rsidRPr="00D93752">
              <w:rPr>
                <w:iCs/>
                <w:sz w:val="24"/>
                <w:szCs w:val="24"/>
              </w:rPr>
              <w:t>nuovo</w:t>
            </w:r>
            <w:proofErr w:type="spellEnd"/>
            <w:r w:rsidRPr="00D9375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93752">
              <w:rPr>
                <w:iCs/>
                <w:sz w:val="24"/>
                <w:szCs w:val="24"/>
              </w:rPr>
              <w:t>modello</w:t>
            </w:r>
            <w:proofErr w:type="spellEnd"/>
            <w:r w:rsidRPr="00D93752">
              <w:rPr>
                <w:iCs/>
                <w:sz w:val="24"/>
                <w:szCs w:val="24"/>
              </w:rPr>
              <w:t xml:space="preserve"> di </w:t>
            </w:r>
            <w:proofErr w:type="spellStart"/>
            <w:r w:rsidRPr="00D93752">
              <w:rPr>
                <w:iCs/>
                <w:sz w:val="24"/>
                <w:szCs w:val="24"/>
              </w:rPr>
              <w:t>giustizia</w:t>
            </w:r>
            <w:proofErr w:type="spellEnd"/>
            <w:r w:rsidRPr="00D9375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93752">
              <w:rPr>
                <w:iCs/>
                <w:sz w:val="24"/>
                <w:szCs w:val="24"/>
              </w:rPr>
              <w:t>costituzionale</w:t>
            </w:r>
            <w:proofErr w:type="spellEnd"/>
            <w:r w:rsidRPr="00D93752">
              <w:rPr>
                <w:iCs/>
                <w:sz w:val="24"/>
                <w:szCs w:val="24"/>
              </w:rPr>
              <w:t>?</w:t>
            </w:r>
            <w:r w:rsidRPr="00D93752">
              <w:rPr>
                <w:sz w:val="24"/>
                <w:szCs w:val="24"/>
              </w:rPr>
              <w:t xml:space="preserve">”, </w:t>
            </w:r>
            <w:proofErr w:type="spellStart"/>
            <w:r w:rsidRPr="00D93752">
              <w:rPr>
                <w:i/>
                <w:sz w:val="24"/>
                <w:szCs w:val="24"/>
              </w:rPr>
              <w:t>Quaderni</w:t>
            </w:r>
            <w:proofErr w:type="spellEnd"/>
            <w:r w:rsidRPr="00D9375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93752">
              <w:rPr>
                <w:i/>
                <w:sz w:val="24"/>
                <w:szCs w:val="24"/>
              </w:rPr>
              <w:t>Costituzionali</w:t>
            </w:r>
            <w:proofErr w:type="spellEnd"/>
            <w:r w:rsidRPr="00D93752">
              <w:rPr>
                <w:sz w:val="24"/>
                <w:szCs w:val="24"/>
              </w:rPr>
              <w:t>, 4 (2004).</w:t>
            </w:r>
          </w:p>
          <w:p w:rsidR="00D93752" w:rsidRPr="00D93752" w:rsidRDefault="00D93752" w:rsidP="00D93752">
            <w:pPr>
              <w:pStyle w:val="Prrafodelista"/>
              <w:numPr>
                <w:ilvl w:val="0"/>
                <w:numId w:val="3"/>
              </w:numPr>
              <w:spacing w:after="120"/>
              <w:ind w:left="340" w:hanging="227"/>
              <w:contextualSpacing w:val="0"/>
              <w:jc w:val="both"/>
              <w:rPr>
                <w:sz w:val="24"/>
                <w:szCs w:val="24"/>
                <w:lang w:val="en-US"/>
              </w:rPr>
            </w:pPr>
            <w:r w:rsidRPr="00D93752">
              <w:rPr>
                <w:sz w:val="24"/>
                <w:szCs w:val="24"/>
                <w:lang w:val="en-US"/>
              </w:rPr>
              <w:t xml:space="preserve">“Community and National Legal Orders: Autonomy, Integration and Interaction” </w:t>
            </w:r>
            <w:proofErr w:type="spellStart"/>
            <w:r w:rsidRPr="00D93752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D93752">
              <w:rPr>
                <w:sz w:val="24"/>
                <w:szCs w:val="24"/>
                <w:lang w:val="en-US"/>
              </w:rPr>
              <w:t xml:space="preserve"> </w:t>
            </w:r>
            <w:r w:rsidRPr="00D93752">
              <w:rPr>
                <w:i/>
                <w:sz w:val="24"/>
                <w:szCs w:val="24"/>
                <w:lang w:val="en-US"/>
              </w:rPr>
              <w:t>Collected Courses of the Academy of European Law (Yearbook), 1996, Vol. VII - Book 1: European Community Law</w:t>
            </w:r>
            <w:r w:rsidRPr="00D93752">
              <w:rPr>
                <w:sz w:val="24"/>
                <w:szCs w:val="24"/>
                <w:lang w:val="en-US"/>
              </w:rPr>
              <w:t>, Kluwer Law International/</w:t>
            </w:r>
            <w:proofErr w:type="spellStart"/>
            <w:r w:rsidRPr="00D93752">
              <w:rPr>
                <w:sz w:val="24"/>
                <w:szCs w:val="24"/>
                <w:lang w:val="en-US"/>
              </w:rPr>
              <w:t>Martinus</w:t>
            </w:r>
            <w:proofErr w:type="spellEnd"/>
            <w:r w:rsidRPr="00D937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752">
              <w:rPr>
                <w:sz w:val="24"/>
                <w:szCs w:val="24"/>
                <w:lang w:val="en-US"/>
              </w:rPr>
              <w:t>Nijhoff</w:t>
            </w:r>
            <w:proofErr w:type="spellEnd"/>
            <w:r w:rsidRPr="00D93752">
              <w:rPr>
                <w:sz w:val="24"/>
                <w:szCs w:val="24"/>
                <w:lang w:val="en-US"/>
              </w:rPr>
              <w:t xml:space="preserve"> Publishers, 1999.</w:t>
            </w:r>
          </w:p>
          <w:p w:rsidR="00DA2581" w:rsidRPr="00D93752" w:rsidRDefault="00DA2581" w:rsidP="00F4065D">
            <w:pPr>
              <w:jc w:val="both"/>
              <w:rPr>
                <w:lang w:val="en-US"/>
              </w:rPr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93752" w:rsidRDefault="00D93752" w:rsidP="00D93752">
            <w:pPr>
              <w:pStyle w:val="Cuerpo"/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84CD1">
              <w:rPr>
                <w:b/>
                <w:color w:val="1F4E79" w:themeColor="accent1" w:themeShade="80"/>
                <w:sz w:val="32"/>
                <w:szCs w:val="32"/>
              </w:rPr>
              <w:t>Actividad profesional extraacadémica</w:t>
            </w:r>
          </w:p>
          <w:p w:rsidR="00D93752" w:rsidRPr="00D712F0" w:rsidRDefault="00D93752" w:rsidP="00D93752">
            <w:pPr>
              <w:pStyle w:val="Cuerpo"/>
              <w:numPr>
                <w:ilvl w:val="0"/>
                <w:numId w:val="4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227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727E">
              <w:rPr>
                <w:rFonts w:asciiTheme="minorHAnsi" w:hAnsiTheme="minorHAnsi"/>
                <w:sz w:val="24"/>
                <w:szCs w:val="24"/>
              </w:rPr>
              <w:t>Miembro del Ilustre Colegio de Abogados de Madrid.</w:t>
            </w:r>
            <w:r>
              <w:t xml:space="preserve"> </w:t>
            </w:r>
          </w:p>
          <w:p w:rsidR="00D93752" w:rsidRDefault="00D93752" w:rsidP="00D93752">
            <w:pPr>
              <w:pStyle w:val="Cuerpo"/>
              <w:numPr>
                <w:ilvl w:val="0"/>
                <w:numId w:val="4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227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727E">
              <w:rPr>
                <w:rFonts w:asciiTheme="minorHAnsi" w:hAnsiTheme="minorHAnsi"/>
                <w:sz w:val="24"/>
                <w:szCs w:val="24"/>
              </w:rPr>
              <w:t>Integrante de la lista de juristas que pueden presidir los Tribunales Arbitrales del MERCOSUR. Presidente del Tribunal competente para emitir el IX Laudo.</w:t>
            </w:r>
          </w:p>
          <w:p w:rsidR="00D93752" w:rsidRPr="0096108B" w:rsidRDefault="00D93752" w:rsidP="00D93752">
            <w:pPr>
              <w:pStyle w:val="Cuerpo"/>
              <w:numPr>
                <w:ilvl w:val="0"/>
                <w:numId w:val="4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227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108B">
              <w:rPr>
                <w:rFonts w:asciiTheme="minorHAnsi" w:hAnsiTheme="minorHAnsi"/>
                <w:sz w:val="24"/>
                <w:szCs w:val="24"/>
              </w:rPr>
              <w:t>Miembro de la Comisión Asesora de Libertad Religiosa de 2014 a 2018</w:t>
            </w:r>
          </w:p>
          <w:p w:rsidR="00D93752" w:rsidRPr="0093727E" w:rsidRDefault="00D93752" w:rsidP="00D93752">
            <w:pPr>
              <w:pStyle w:val="Cuerpo"/>
              <w:numPr>
                <w:ilvl w:val="0"/>
                <w:numId w:val="4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227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727E">
              <w:rPr>
                <w:rFonts w:asciiTheme="minorHAnsi" w:hAnsiTheme="minorHAnsi"/>
                <w:sz w:val="24"/>
                <w:szCs w:val="24"/>
              </w:rPr>
              <w:t>Ha desempeñado funciones de consultoría en instituciones públicas que han tenido posterior trascendencia para la reforma legal de las cuestiones implicadas en el estudio. Concretamente, ha sido:</w:t>
            </w:r>
          </w:p>
          <w:p w:rsidR="00D93752" w:rsidRPr="0093727E" w:rsidRDefault="00D93752" w:rsidP="00D93752">
            <w:pPr>
              <w:pStyle w:val="Cuerpo"/>
              <w:numPr>
                <w:ilvl w:val="0"/>
                <w:numId w:val="5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727E">
              <w:rPr>
                <w:rFonts w:asciiTheme="minorHAnsi" w:hAnsiTheme="minorHAnsi"/>
                <w:sz w:val="24"/>
                <w:szCs w:val="24"/>
              </w:rPr>
              <w:t>Director de la Red Temática Unión Europea-MERCOSUR (Agencia Española de Cooperación Internacional, 1998-2000). Universidades implicadas: Alicante, País Vasco y Complutense de Madrid (España), Católica de Montevideo (Uruguay), Nacional de Asunción (Paraguay) y Nacional de Córdoba (Argentina).</w:t>
            </w:r>
          </w:p>
          <w:p w:rsidR="00D93752" w:rsidRPr="0093727E" w:rsidRDefault="00D93752" w:rsidP="00D93752">
            <w:pPr>
              <w:pStyle w:val="Prrafodelista"/>
              <w:numPr>
                <w:ilvl w:val="0"/>
                <w:numId w:val="5"/>
              </w:numPr>
              <w:spacing w:after="120" w:line="288" w:lineRule="auto"/>
              <w:ind w:left="584" w:hanging="227"/>
              <w:contextualSpacing w:val="0"/>
              <w:jc w:val="both"/>
              <w:rPr>
                <w:sz w:val="24"/>
                <w:szCs w:val="24"/>
              </w:rPr>
            </w:pPr>
            <w:r w:rsidRPr="0093727E">
              <w:rPr>
                <w:sz w:val="24"/>
                <w:szCs w:val="24"/>
              </w:rPr>
              <w:t xml:space="preserve">Consultor europeo en el Proyecto “Apoyo a la Comisión Parlamentaria Conjunta del Mercosur” (Buenos Aires – Montevideo - Asunción, 2003), que aprobó el </w:t>
            </w:r>
            <w:r w:rsidRPr="0093727E">
              <w:rPr>
                <w:rFonts w:eastAsia="Calibri" w:cs="Times New Roman"/>
                <w:sz w:val="24"/>
                <w:szCs w:val="24"/>
              </w:rPr>
              <w:t xml:space="preserve">Acuerdo interinstitucional entre el Consejo del Mercado del Común y la Comisión Parlamentaria Conjunta de 6.10.2003 (Acuerdo </w:t>
            </w:r>
            <w:r w:rsidRPr="0093727E">
              <w:rPr>
                <w:rFonts w:eastAsia="Calibri" w:cs="Times New Roman"/>
                <w:sz w:val="24"/>
                <w:szCs w:val="24"/>
              </w:rPr>
              <w:lastRenderedPageBreak/>
              <w:t xml:space="preserve">conocido </w:t>
            </w:r>
            <w:r w:rsidRPr="0093727E">
              <w:rPr>
                <w:sz w:val="24"/>
                <w:szCs w:val="24"/>
              </w:rPr>
              <w:t>como “Enmienda Alonso”: cfr. Diario de Sesiones de la Cámara de Senadores de la República Oriental del Uruguay, nº 155, tomo 435, 27.9.2006).</w:t>
            </w:r>
          </w:p>
          <w:p w:rsidR="00D93752" w:rsidRPr="0093727E" w:rsidRDefault="00D93752" w:rsidP="00D93752">
            <w:pPr>
              <w:pStyle w:val="Cuerpo"/>
              <w:numPr>
                <w:ilvl w:val="0"/>
                <w:numId w:val="5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727E">
              <w:rPr>
                <w:rFonts w:asciiTheme="minorHAnsi" w:hAnsiTheme="minorHAnsi"/>
                <w:sz w:val="24"/>
                <w:szCs w:val="24"/>
              </w:rPr>
              <w:t xml:space="preserve">Miembro de la Delegación Oficial en las </w:t>
            </w:r>
            <w:proofErr w:type="spellStart"/>
            <w:r w:rsidRPr="0093727E">
              <w:rPr>
                <w:rFonts w:asciiTheme="minorHAnsi" w:hAnsiTheme="minorHAnsi"/>
                <w:sz w:val="24"/>
                <w:szCs w:val="24"/>
              </w:rPr>
              <w:t>XXIVª</w:t>
            </w:r>
            <w:proofErr w:type="spellEnd"/>
            <w:r w:rsidRPr="0093727E">
              <w:rPr>
                <w:rFonts w:asciiTheme="minorHAnsi" w:hAnsiTheme="minorHAnsi"/>
                <w:sz w:val="24"/>
                <w:szCs w:val="24"/>
              </w:rPr>
              <w:t xml:space="preserve"> y </w:t>
            </w:r>
            <w:proofErr w:type="spellStart"/>
            <w:r w:rsidRPr="0093727E">
              <w:rPr>
                <w:rFonts w:asciiTheme="minorHAnsi" w:hAnsiTheme="minorHAnsi"/>
                <w:sz w:val="24"/>
                <w:szCs w:val="24"/>
              </w:rPr>
              <w:t>XXVª</w:t>
            </w:r>
            <w:proofErr w:type="spellEnd"/>
            <w:r w:rsidRPr="0093727E">
              <w:rPr>
                <w:rFonts w:asciiTheme="minorHAnsi" w:hAnsiTheme="minorHAnsi"/>
                <w:sz w:val="24"/>
                <w:szCs w:val="24"/>
              </w:rPr>
              <w:t xml:space="preserve"> Reunión del Grupo Mercado Común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(GMC) </w:t>
            </w:r>
            <w:r w:rsidRPr="0093727E">
              <w:rPr>
                <w:rFonts w:asciiTheme="minorHAnsi" w:hAnsiTheme="minorHAnsi"/>
                <w:sz w:val="24"/>
                <w:szCs w:val="24"/>
              </w:rPr>
              <w:t>y Cumbre de Presidentes de los Países Miembros del MERCOSUR, Bolivia y Chile (Asunción, Paraguay, 17-18 de junio de 2003 y Montevideo, Uruguay, 16 de diciembre de 2003, respectivamente).</w:t>
            </w:r>
          </w:p>
          <w:p w:rsidR="00D93752" w:rsidRPr="0093727E" w:rsidRDefault="00D93752" w:rsidP="00D93752">
            <w:pPr>
              <w:pStyle w:val="Prrafodelista"/>
              <w:numPr>
                <w:ilvl w:val="0"/>
                <w:numId w:val="5"/>
              </w:numPr>
              <w:spacing w:after="120" w:line="288" w:lineRule="auto"/>
              <w:ind w:left="584" w:hanging="227"/>
              <w:contextualSpacing w:val="0"/>
              <w:jc w:val="both"/>
              <w:rPr>
                <w:sz w:val="24"/>
                <w:szCs w:val="24"/>
              </w:rPr>
            </w:pPr>
            <w:r w:rsidRPr="0093727E">
              <w:rPr>
                <w:sz w:val="24"/>
                <w:szCs w:val="24"/>
              </w:rPr>
              <w:t>Director del Comité de Redacción y Propuestas (Derecho Público) del Proyecto “Contribución al perfeccionamiento del sistema de solución de controversias del Mercosur</w:t>
            </w:r>
            <w:r>
              <w:rPr>
                <w:sz w:val="24"/>
                <w:szCs w:val="24"/>
              </w:rPr>
              <w:t>”</w:t>
            </w:r>
            <w:r w:rsidRPr="0093727E">
              <w:rPr>
                <w:sz w:val="24"/>
                <w:szCs w:val="24"/>
              </w:rPr>
              <w:t xml:space="preserve"> (Conferencia Plenaria de Cierre en Asunción, 9-14 de agosto de 2004).</w:t>
            </w:r>
          </w:p>
          <w:p w:rsidR="00D93752" w:rsidRPr="0093727E" w:rsidRDefault="00D93752" w:rsidP="00D93752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spacing w:after="120" w:line="288" w:lineRule="auto"/>
              <w:ind w:left="584" w:hanging="227"/>
              <w:contextualSpacing w:val="0"/>
              <w:jc w:val="both"/>
              <w:rPr>
                <w:sz w:val="24"/>
                <w:szCs w:val="24"/>
              </w:rPr>
            </w:pPr>
            <w:r w:rsidRPr="0093727E">
              <w:rPr>
                <w:sz w:val="24"/>
                <w:szCs w:val="24"/>
              </w:rPr>
              <w:t>Relator de “La reforma de la Constitución española: la recepción en la Constitución del proceso de construcción europea”, análisis y debate organizados por el Centro de Estudios Políticos y Constitucionales en colaboración con el Consejo de Estado (Madrid, octubre 2005).</w:t>
            </w:r>
          </w:p>
          <w:p w:rsidR="00D93752" w:rsidRPr="0093727E" w:rsidRDefault="00D93752" w:rsidP="00D93752">
            <w:pPr>
              <w:pStyle w:val="Cuerpo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727E">
              <w:rPr>
                <w:rFonts w:asciiTheme="minorHAnsi" w:hAnsiTheme="minorHAnsi"/>
                <w:sz w:val="24"/>
                <w:szCs w:val="24"/>
              </w:rPr>
              <w:t>Consultor europeo en el I Encuentro de Magistrados de las Cortes Supremas de los países de la Comunidad Andina y del MERCOSUR, del Tribunal de Justicia andino y del Tribunal Permanente de Revisión del MERCOSUR (Lima-Arequipa, 12-14 de octubre de 2005).</w:t>
            </w:r>
          </w:p>
          <w:p w:rsidR="00D93752" w:rsidRPr="0093727E" w:rsidRDefault="00D93752" w:rsidP="00D93752">
            <w:pPr>
              <w:pStyle w:val="Cuerpo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727E">
              <w:rPr>
                <w:rFonts w:asciiTheme="minorHAnsi" w:hAnsiTheme="minorHAnsi"/>
                <w:sz w:val="24"/>
                <w:szCs w:val="24"/>
              </w:rPr>
              <w:t>Miembro del Grupo de Trabajo encargado de elaborar el Anteproyecto de Reglamentación de la Opinión Consultiva en el MERCOSUR (Portuaria del Supremo Tribunal Federal nº 149, 4 de octubre de 2006).</w:t>
            </w:r>
          </w:p>
          <w:p w:rsidR="00D93752" w:rsidRDefault="00D93752" w:rsidP="00D93752">
            <w:pPr>
              <w:pStyle w:val="Cuerpo"/>
              <w:numPr>
                <w:ilvl w:val="0"/>
                <w:numId w:val="5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727E">
              <w:rPr>
                <w:rFonts w:asciiTheme="minorHAnsi" w:hAnsiTheme="minorHAnsi"/>
                <w:sz w:val="24"/>
                <w:szCs w:val="24"/>
              </w:rPr>
              <w:t>Coordinador Científico del II, III y IV Encuentro de Presidentes de las Cortes Supremas de los Estados Partes del MERCOSUR y Asociados (Brasilia, 2004, 2005 y 2006).</w:t>
            </w:r>
          </w:p>
          <w:p w:rsidR="00D93752" w:rsidRDefault="00D93752" w:rsidP="00D93752">
            <w:pPr>
              <w:pStyle w:val="Cuerpo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727E">
              <w:rPr>
                <w:rFonts w:asciiTheme="minorHAnsi" w:hAnsiTheme="minorHAnsi"/>
                <w:sz w:val="24"/>
                <w:szCs w:val="24"/>
              </w:rPr>
              <w:t>Consultor europeo en el Proyecto “Reformas al Estatuto del Tribunal de Justicia de la Comunidad Andina” (Quito - Lima, 2007).</w:t>
            </w:r>
          </w:p>
          <w:p w:rsidR="00D93752" w:rsidRDefault="00D93752" w:rsidP="00D93752">
            <w:pPr>
              <w:pStyle w:val="Cuerpo"/>
              <w:numPr>
                <w:ilvl w:val="0"/>
                <w:numId w:val="5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Panelista invitado en el VII Encuentro de Cortes Supremas del MERCOSUR (Buenos Aires, 2009).</w:t>
            </w:r>
          </w:p>
          <w:p w:rsidR="00D93752" w:rsidRDefault="00D93752" w:rsidP="00D93752">
            <w:pPr>
              <w:pStyle w:val="Cuerpo"/>
              <w:numPr>
                <w:ilvl w:val="0"/>
                <w:numId w:val="5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37AB9">
              <w:rPr>
                <w:rFonts w:asciiTheme="minorHAnsi" w:hAnsiTheme="minorHAnsi"/>
                <w:sz w:val="24"/>
                <w:szCs w:val="24"/>
              </w:rPr>
              <w:t xml:space="preserve">Panelista invitado en el 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337AB9">
              <w:rPr>
                <w:rFonts w:asciiTheme="minorHAnsi" w:hAnsiTheme="minorHAnsi"/>
                <w:sz w:val="24"/>
                <w:szCs w:val="24"/>
              </w:rPr>
              <w:t xml:space="preserve">I Encuentro de Magistrados de la </w:t>
            </w:r>
            <w:r w:rsidRPr="00337AB9">
              <w:rPr>
                <w:rFonts w:asciiTheme="minorHAnsi" w:hAnsiTheme="minorHAnsi"/>
                <w:sz w:val="24"/>
                <w:szCs w:val="24"/>
              </w:rPr>
              <w:lastRenderedPageBreak/>
              <w:t>C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omunidad Andina y del MERCOSUR </w:t>
            </w:r>
            <w:r w:rsidRPr="00337AB9">
              <w:rPr>
                <w:rFonts w:asciiTheme="minorHAnsi" w:hAnsiTheme="minorHAnsi"/>
                <w:sz w:val="24"/>
                <w:szCs w:val="24"/>
              </w:rPr>
              <w:t>(</w:t>
            </w:r>
            <w:r w:rsidRPr="0047251E">
              <w:rPr>
                <w:rFonts w:asciiTheme="minorHAnsi" w:hAnsiTheme="minorHAnsi"/>
                <w:sz w:val="24"/>
                <w:szCs w:val="24"/>
                <w:lang w:val="es-ES"/>
              </w:rPr>
              <w:t>Cartage</w:t>
            </w:r>
            <w:r>
              <w:rPr>
                <w:rFonts w:asciiTheme="minorHAnsi" w:hAnsiTheme="minorHAnsi"/>
                <w:sz w:val="24"/>
                <w:szCs w:val="24"/>
                <w:lang w:val="es-ES"/>
              </w:rPr>
              <w:t>na de Indias, 2010</w:t>
            </w:r>
            <w:r w:rsidRPr="00337AB9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:rsidR="00D93752" w:rsidRPr="00D04D74" w:rsidRDefault="00D93752" w:rsidP="00D93752">
            <w:pPr>
              <w:pStyle w:val="Cuerpo"/>
              <w:numPr>
                <w:ilvl w:val="0"/>
                <w:numId w:val="5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37AB9">
              <w:rPr>
                <w:rFonts w:asciiTheme="minorHAnsi" w:hAnsiTheme="minorHAnsi"/>
                <w:sz w:val="24"/>
                <w:szCs w:val="24"/>
              </w:rPr>
              <w:t xml:space="preserve">Panelista invitado en el </w:t>
            </w:r>
            <w:r w:rsidRPr="00D04D74">
              <w:rPr>
                <w:rFonts w:asciiTheme="minorHAnsi" w:hAnsiTheme="minorHAnsi"/>
                <w:sz w:val="24"/>
                <w:szCs w:val="24"/>
              </w:rPr>
              <w:t>III Encuentro de Magistrados de la Comunidad Andina y del MERCOSUR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(Buenos Aires, 2011)</w:t>
            </w:r>
          </w:p>
          <w:p w:rsidR="00D93752" w:rsidRDefault="00D93752" w:rsidP="00D93752">
            <w:pPr>
              <w:pStyle w:val="Cuerpo"/>
              <w:numPr>
                <w:ilvl w:val="0"/>
                <w:numId w:val="5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37AB9">
              <w:rPr>
                <w:rFonts w:asciiTheme="minorHAnsi" w:hAnsiTheme="minorHAnsi"/>
                <w:sz w:val="24"/>
                <w:szCs w:val="24"/>
              </w:rPr>
              <w:t xml:space="preserve">Panelista invitado en el </w:t>
            </w:r>
            <w:r>
              <w:rPr>
                <w:rFonts w:asciiTheme="minorHAnsi" w:hAnsiTheme="minorHAnsi"/>
                <w:sz w:val="24"/>
                <w:szCs w:val="24"/>
              </w:rPr>
              <w:t>IV Encuentro de Magistrados de la Comunidad Andina y del MERCOSUR (Quito, 2012)</w:t>
            </w:r>
          </w:p>
          <w:p w:rsidR="00D93752" w:rsidRDefault="00D93752" w:rsidP="00D93752">
            <w:pPr>
              <w:pStyle w:val="Cuerpo"/>
              <w:numPr>
                <w:ilvl w:val="0"/>
                <w:numId w:val="5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Panelista invitado al Centenario de l</w:t>
            </w:r>
            <w:r w:rsidRPr="003E4A0B">
              <w:rPr>
                <w:rFonts w:asciiTheme="minorHAnsi" w:hAnsiTheme="minorHAnsi"/>
                <w:sz w:val="24"/>
                <w:szCs w:val="24"/>
              </w:rPr>
              <w:t>a Jurisdicción Contencioso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3E4A0B">
              <w:rPr>
                <w:rFonts w:asciiTheme="minorHAnsi" w:hAnsiTheme="minorHAnsi"/>
                <w:sz w:val="24"/>
                <w:szCs w:val="24"/>
              </w:rPr>
              <w:t xml:space="preserve"> Administrativa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(Cali, Colombia, </w:t>
            </w:r>
            <w:r w:rsidRPr="00592A80">
              <w:rPr>
                <w:rFonts w:asciiTheme="minorHAnsi" w:hAnsiTheme="minorHAnsi"/>
                <w:sz w:val="24"/>
                <w:szCs w:val="24"/>
              </w:rPr>
              <w:t>2013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D93752" w:rsidRDefault="00D93752" w:rsidP="00D93752">
            <w:pPr>
              <w:pStyle w:val="Cuerpo"/>
              <w:numPr>
                <w:ilvl w:val="0"/>
                <w:numId w:val="5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Panelista invitado al Primer Seminario Internacional de la Unión Iberoamericana de Universidades y las Cortes Supremas de Argentina, Brasil, México y España (Madrid, 2017).</w:t>
            </w:r>
          </w:p>
          <w:p w:rsidR="00D93752" w:rsidRPr="00D93752" w:rsidRDefault="00D93752" w:rsidP="00D93752">
            <w:pPr>
              <w:pStyle w:val="Cuerpo"/>
              <w:numPr>
                <w:ilvl w:val="0"/>
                <w:numId w:val="5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</w:pPr>
            <w:r>
              <w:rPr>
                <w:rFonts w:asciiTheme="minorHAnsi" w:hAnsiTheme="minorHAnsi"/>
                <w:sz w:val="24"/>
                <w:szCs w:val="24"/>
              </w:rPr>
              <w:t>Panelista invitado al Segundo Seminario Internacional de la Unión Iberoamericana de Universidades y las Cortes Supremas de Argentina, Brasil, México y España (Ciudad de México, 2018).</w:t>
            </w:r>
          </w:p>
          <w:p w:rsidR="001D7F79" w:rsidRDefault="00D93752" w:rsidP="00D93752">
            <w:pPr>
              <w:pStyle w:val="Cuerpo"/>
              <w:numPr>
                <w:ilvl w:val="0"/>
                <w:numId w:val="5"/>
              </w:numPr>
              <w:tabs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spacing w:after="120"/>
              <w:ind w:left="584" w:hanging="227"/>
              <w:jc w:val="both"/>
            </w:pPr>
            <w:r>
              <w:rPr>
                <w:rFonts w:asciiTheme="minorHAnsi" w:hAnsiTheme="minorHAnsi"/>
                <w:sz w:val="24"/>
                <w:szCs w:val="24"/>
              </w:rPr>
              <w:t>Panelista invitado al Tercer Seminario Internacional de la Unión Iberoamericana de Universidades y las Cortes Supremas de Argentina, Brasil, México y España (Buenos Aires, 2019).</w:t>
            </w:r>
          </w:p>
        </w:tc>
      </w:tr>
    </w:tbl>
    <w:p w:rsidR="00EF2C9D" w:rsidRDefault="00EF2C9D"/>
    <w:sectPr w:rsidR="00EF2C9D" w:rsidSect="001D7F79">
      <w:headerReference w:type="default" r:id="rId9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80" w:rsidRDefault="006B6E80" w:rsidP="001D7F79">
      <w:pPr>
        <w:spacing w:after="0" w:line="240" w:lineRule="auto"/>
      </w:pPr>
      <w:r>
        <w:separator/>
      </w:r>
    </w:p>
  </w:endnote>
  <w:endnote w:type="continuationSeparator" w:id="0">
    <w:p w:rsidR="006B6E80" w:rsidRDefault="006B6E8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80" w:rsidRDefault="006B6E80" w:rsidP="001D7F79">
      <w:pPr>
        <w:spacing w:after="0" w:line="240" w:lineRule="auto"/>
      </w:pPr>
      <w:r>
        <w:separator/>
      </w:r>
    </w:p>
  </w:footnote>
  <w:footnote w:type="continuationSeparator" w:id="0">
    <w:p w:rsidR="006B6E80" w:rsidRDefault="006B6E8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9EA"/>
    <w:multiLevelType w:val="hybridMultilevel"/>
    <w:tmpl w:val="FBBE6492"/>
    <w:lvl w:ilvl="0" w:tplc="C7BE4964">
      <w:start w:val="1"/>
      <w:numFmt w:val="decimal"/>
      <w:lvlText w:val="%1."/>
      <w:lvlJc w:val="center"/>
      <w:pPr>
        <w:ind w:left="1080" w:hanging="360"/>
      </w:pPr>
      <w:rPr>
        <w:rFonts w:asciiTheme="minorHAnsi" w:eastAsiaTheme="minorHAnsi" w:hAnsiTheme="minorHAnsi" w:cstheme="minorBidi" w:hint="default"/>
        <w:b/>
        <w:i w:val="0"/>
        <w:color w:val="2E74B5" w:themeColor="accent1" w:themeShade="BF"/>
        <w:sz w:val="20"/>
        <w:szCs w:val="20"/>
      </w:rPr>
    </w:lvl>
    <w:lvl w:ilvl="1" w:tplc="0046B60C">
      <w:numFmt w:val="bullet"/>
      <w:lvlText w:val="•"/>
      <w:lvlJc w:val="left"/>
      <w:pPr>
        <w:ind w:left="1800" w:hanging="360"/>
      </w:pPr>
      <w:rPr>
        <w:rFonts w:ascii="Calibri" w:eastAsia="ヒラギノ角ゴ Pro W3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23E00"/>
    <w:multiLevelType w:val="hybridMultilevel"/>
    <w:tmpl w:val="CF4C4114"/>
    <w:lvl w:ilvl="0" w:tplc="1DA6D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7483E"/>
    <w:multiLevelType w:val="hybridMultilevel"/>
    <w:tmpl w:val="53CE7764"/>
    <w:lvl w:ilvl="0" w:tplc="C826DC70">
      <w:start w:val="1"/>
      <w:numFmt w:val="decimal"/>
      <w:lvlText w:val="%1."/>
      <w:lvlJc w:val="left"/>
      <w:pPr>
        <w:ind w:left="360" w:hanging="360"/>
      </w:pPr>
      <w:rPr>
        <w:rFonts w:asciiTheme="minorHAnsi" w:eastAsia="ヒラギノ角ゴ Pro W3" w:hAnsiTheme="minorHAnsi" w:cs="Times New Roman"/>
        <w:b/>
        <w:i w:val="0"/>
        <w:color w:val="2E74B5" w:themeColor="accent1" w:themeShade="BF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A7AAD"/>
    <w:rsid w:val="000C1074"/>
    <w:rsid w:val="00111DFA"/>
    <w:rsid w:val="001139AD"/>
    <w:rsid w:val="0012179E"/>
    <w:rsid w:val="00126A29"/>
    <w:rsid w:val="00127715"/>
    <w:rsid w:val="001564FA"/>
    <w:rsid w:val="0015749A"/>
    <w:rsid w:val="00175055"/>
    <w:rsid w:val="001857B9"/>
    <w:rsid w:val="00191B18"/>
    <w:rsid w:val="001B272D"/>
    <w:rsid w:val="001D5804"/>
    <w:rsid w:val="001D7F79"/>
    <w:rsid w:val="00216EFC"/>
    <w:rsid w:val="002726C7"/>
    <w:rsid w:val="00276124"/>
    <w:rsid w:val="002A0EA4"/>
    <w:rsid w:val="002E0289"/>
    <w:rsid w:val="003237B4"/>
    <w:rsid w:val="003A369F"/>
    <w:rsid w:val="0043544B"/>
    <w:rsid w:val="004D76B6"/>
    <w:rsid w:val="00506DA3"/>
    <w:rsid w:val="0055671E"/>
    <w:rsid w:val="005B38F9"/>
    <w:rsid w:val="005F3BA3"/>
    <w:rsid w:val="00611696"/>
    <w:rsid w:val="006504FE"/>
    <w:rsid w:val="0069008E"/>
    <w:rsid w:val="006A0346"/>
    <w:rsid w:val="006B6E80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65504"/>
    <w:rsid w:val="008F7C86"/>
    <w:rsid w:val="00974CD4"/>
    <w:rsid w:val="00990AA2"/>
    <w:rsid w:val="00AA6974"/>
    <w:rsid w:val="00B32F6A"/>
    <w:rsid w:val="00BE1BDC"/>
    <w:rsid w:val="00CC3283"/>
    <w:rsid w:val="00CE075E"/>
    <w:rsid w:val="00D93752"/>
    <w:rsid w:val="00DA2581"/>
    <w:rsid w:val="00DF4EC1"/>
    <w:rsid w:val="00E0036F"/>
    <w:rsid w:val="00E12336"/>
    <w:rsid w:val="00EF2C9D"/>
    <w:rsid w:val="00F02311"/>
    <w:rsid w:val="00F06BB1"/>
    <w:rsid w:val="00F17678"/>
    <w:rsid w:val="00F249AD"/>
    <w:rsid w:val="00F36336"/>
    <w:rsid w:val="00F4065D"/>
    <w:rsid w:val="00F46039"/>
    <w:rsid w:val="00F77EB7"/>
    <w:rsid w:val="00FB5CAB"/>
    <w:rsid w:val="00FD1D54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4065D"/>
    <w:rPr>
      <w:b/>
      <w:bCs/>
    </w:rPr>
  </w:style>
  <w:style w:type="paragraph" w:customStyle="1" w:styleId="Cuerpo">
    <w:name w:val="Cuerpo"/>
    <w:rsid w:val="00D93752"/>
    <w:pPr>
      <w:tabs>
        <w:tab w:val="center" w:pos="3402"/>
      </w:tabs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4065D"/>
    <w:rPr>
      <w:b/>
      <w:bCs/>
    </w:rPr>
  </w:style>
  <w:style w:type="paragraph" w:customStyle="1" w:styleId="Cuerpo">
    <w:name w:val="Cuerpo"/>
    <w:rsid w:val="00D93752"/>
    <w:pPr>
      <w:tabs>
        <w:tab w:val="center" w:pos="3402"/>
      </w:tabs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.es/webISBN/tituloDetalle.do?sidTitul=1199234&amp;action=busquedaInicial&amp;noValidating=true&amp;POS=0&amp;MAX=50&amp;TOTAL=0&amp;prev_layout=busquedaisbn&amp;layout=busquedaisbn&amp;language=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2</cp:revision>
  <dcterms:created xsi:type="dcterms:W3CDTF">2019-07-22T16:13:00Z</dcterms:created>
  <dcterms:modified xsi:type="dcterms:W3CDTF">2019-07-22T16:13:00Z</dcterms:modified>
</cp:coreProperties>
</file>